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A9" w:rsidRDefault="00937EA9" w:rsidP="00937EA9">
      <w:pPr>
        <w:jc w:val="center"/>
        <w:rPr>
          <w:rFonts w:ascii="Helvetica" w:hAnsi="Helvetica"/>
          <w:b/>
          <w:color w:val="800000"/>
          <w:sz w:val="32"/>
        </w:rPr>
      </w:pPr>
      <w:r>
        <w:rPr>
          <w:rFonts w:ascii="Helvetica" w:hAnsi="Helvetica"/>
          <w:b/>
          <w:color w:val="800000"/>
          <w:sz w:val="32"/>
        </w:rPr>
        <w:t xml:space="preserve">ENGL </w:t>
      </w:r>
      <w:r w:rsidR="00B71512">
        <w:rPr>
          <w:rFonts w:ascii="Helvetica" w:hAnsi="Helvetica"/>
          <w:b/>
          <w:color w:val="800000"/>
          <w:sz w:val="32"/>
        </w:rPr>
        <w:t>543</w:t>
      </w:r>
      <w:r>
        <w:rPr>
          <w:rFonts w:ascii="Helvetica" w:hAnsi="Helvetica"/>
          <w:b/>
          <w:color w:val="800000"/>
          <w:sz w:val="32"/>
        </w:rPr>
        <w:t xml:space="preserve"> Schedule</w:t>
      </w:r>
    </w:p>
    <w:p w:rsidR="00937EA9" w:rsidRDefault="00937EA9" w:rsidP="00937EA9">
      <w:pPr>
        <w:rPr>
          <w:sz w:val="18"/>
        </w:rPr>
      </w:pPr>
    </w:p>
    <w:p w:rsidR="00937EA9" w:rsidRDefault="00937EA9" w:rsidP="00937EA9">
      <w:pPr>
        <w:rPr>
          <w:i/>
          <w:iCs/>
          <w:sz w:val="18"/>
        </w:rPr>
      </w:pPr>
    </w:p>
    <w:p w:rsidR="00937EA9" w:rsidRDefault="003A32E7" w:rsidP="00937EA9">
      <w:pPr>
        <w:rPr>
          <w:iCs/>
          <w:sz w:val="18"/>
        </w:rPr>
      </w:pPr>
      <w:r>
        <w:rPr>
          <w:iCs/>
          <w:sz w:val="18"/>
        </w:rPr>
        <w:t>All readings besides those from the hooks text are available on the course Learn site.</w:t>
      </w:r>
    </w:p>
    <w:p w:rsidR="003A32E7" w:rsidRDefault="003A32E7" w:rsidP="00937EA9">
      <w:pPr>
        <w:rPr>
          <w:iCs/>
          <w:sz w:val="18"/>
        </w:rPr>
      </w:pPr>
    </w:p>
    <w:p w:rsidR="003A32E7" w:rsidRPr="001E4556" w:rsidRDefault="003A32E7" w:rsidP="00937EA9">
      <w:pPr>
        <w:rPr>
          <w:iCs/>
          <w:sz w:val="18"/>
        </w:rPr>
      </w:pPr>
      <w:r>
        <w:rPr>
          <w:iCs/>
          <w:sz w:val="18"/>
        </w:rPr>
        <w:t xml:space="preserve">With the exception of week 1, all readings are expected to be read and </w:t>
      </w:r>
      <w:r w:rsidR="00D667D1">
        <w:rPr>
          <w:iCs/>
          <w:sz w:val="18"/>
        </w:rPr>
        <w:t>with responses on the discussion board by the Monday night before the first class of the week.</w:t>
      </w:r>
    </w:p>
    <w:p w:rsidR="00937EA9" w:rsidRDefault="00937EA9" w:rsidP="00937EA9">
      <w:pPr>
        <w:rPr>
          <w:i/>
          <w:iCs/>
          <w:sz w:val="18"/>
        </w:rPr>
      </w:pPr>
    </w:p>
    <w:p w:rsidR="00937EA9" w:rsidRDefault="00937EA9" w:rsidP="00937EA9">
      <w:pPr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 xml:space="preserve">The syllabus is subject to change and does not list all shorter assignments. </w:t>
      </w:r>
    </w:p>
    <w:p w:rsidR="00937EA9" w:rsidRDefault="00937EA9" w:rsidP="00937EA9">
      <w:pPr>
        <w:rPr>
          <w:sz w:val="18"/>
        </w:rPr>
      </w:pPr>
    </w:p>
    <w:tbl>
      <w:tblPr>
        <w:tblW w:w="9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3"/>
        <w:gridCol w:w="8460"/>
      </w:tblGrid>
      <w:tr w:rsidR="00937EA9" w:rsidTr="00181B2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37EA9" w:rsidRDefault="00937EA9" w:rsidP="00181B25">
            <w:pPr>
              <w:snapToGrid w:val="0"/>
              <w:spacing w:before="20" w:after="20"/>
            </w:pPr>
            <w:r>
              <w:t>Date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937EA9" w:rsidRDefault="00937EA9" w:rsidP="00181B25">
            <w:pPr>
              <w:snapToGrid w:val="0"/>
              <w:spacing w:before="20" w:after="20"/>
            </w:pPr>
            <w:r>
              <w:t>Come Prepared With:</w:t>
            </w:r>
          </w:p>
        </w:tc>
      </w:tr>
    </w:tbl>
    <w:p w:rsidR="00937EA9" w:rsidRDefault="00937EA9" w:rsidP="00937EA9"/>
    <w:tbl>
      <w:tblPr>
        <w:tblW w:w="9563" w:type="dxa"/>
        <w:tblInd w:w="-5" w:type="dxa"/>
        <w:tblBorders>
          <w:top w:val="double" w:sz="2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460"/>
      </w:tblGrid>
      <w:tr w:rsidR="00937EA9" w:rsidTr="00181B25"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1:</w:t>
            </w:r>
          </w:p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</w:t>
            </w:r>
            <w:r w:rsidR="005C27AB">
              <w:rPr>
                <w:sz w:val="18"/>
              </w:rPr>
              <w:t>h 1/21</w:t>
            </w:r>
          </w:p>
        </w:tc>
        <w:tc>
          <w:tcPr>
            <w:tcW w:w="8460" w:type="dxa"/>
          </w:tcPr>
          <w:p w:rsidR="008814CE" w:rsidRPr="00D33F47" w:rsidRDefault="00EA16A7" w:rsidP="008814CE">
            <w:pPr>
              <w:snapToGrid w:val="0"/>
              <w:spacing w:before="20" w:after="20"/>
              <w:rPr>
                <w:b/>
                <w:sz w:val="18"/>
              </w:rPr>
            </w:pPr>
            <w:r w:rsidRPr="00D33F47">
              <w:rPr>
                <w:b/>
                <w:sz w:val="18"/>
              </w:rPr>
              <w:t>Topic: Orientation</w:t>
            </w:r>
          </w:p>
          <w:p w:rsidR="001B70FD" w:rsidRPr="000D645B" w:rsidRDefault="001B70FD" w:rsidP="00A63789">
            <w:pPr>
              <w:snapToGrid w:val="0"/>
              <w:spacing w:before="20" w:after="20"/>
              <w:rPr>
                <w:sz w:val="18"/>
              </w:rPr>
            </w:pPr>
          </w:p>
        </w:tc>
      </w:tr>
      <w:tr w:rsidR="00937EA9" w:rsidTr="00181B25"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2</w:t>
            </w:r>
          </w:p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</w:t>
            </w:r>
            <w:r w:rsidR="005C27AB">
              <w:rPr>
                <w:sz w:val="18"/>
              </w:rPr>
              <w:t xml:space="preserve"> 1/28</w:t>
            </w:r>
          </w:p>
        </w:tc>
        <w:tc>
          <w:tcPr>
            <w:tcW w:w="8460" w:type="dxa"/>
            <w:shd w:val="clear" w:color="auto" w:fill="auto"/>
          </w:tcPr>
          <w:p w:rsidR="00937EA9" w:rsidRPr="00D33F47" w:rsidRDefault="00EA16A7" w:rsidP="00181B25">
            <w:pPr>
              <w:snapToGrid w:val="0"/>
              <w:spacing w:before="20" w:after="20"/>
              <w:rPr>
                <w:rFonts w:eastAsia="Lucida Sans Unicode" w:cs="Tahoma"/>
                <w:b/>
                <w:sz w:val="18"/>
                <w:szCs w:val="18"/>
              </w:rPr>
            </w:pPr>
            <w:r w:rsidRPr="00D33F47">
              <w:rPr>
                <w:rFonts w:eastAsia="Lucida Sans Unicode" w:cs="Tahoma"/>
                <w:b/>
                <w:sz w:val="18"/>
                <w:szCs w:val="18"/>
              </w:rPr>
              <w:t xml:space="preserve">Topic: </w:t>
            </w:r>
            <w:r w:rsidR="00D33F47" w:rsidRPr="00D33F47">
              <w:rPr>
                <w:rFonts w:eastAsia="Lucida Sans Unicode" w:cs="Tahoma"/>
                <w:b/>
                <w:sz w:val="18"/>
                <w:szCs w:val="18"/>
              </w:rPr>
              <w:t>T</w:t>
            </w:r>
            <w:r w:rsidR="009313D9">
              <w:rPr>
                <w:rFonts w:eastAsia="Lucida Sans Unicode" w:cs="Tahoma"/>
                <w:b/>
                <w:sz w:val="18"/>
                <w:szCs w:val="18"/>
              </w:rPr>
              <w:t xml:space="preserve">he </w:t>
            </w:r>
            <w:r w:rsidR="005C27AB">
              <w:rPr>
                <w:rFonts w:eastAsia="Lucida Sans Unicode" w:cs="Tahoma"/>
                <w:b/>
                <w:sz w:val="18"/>
                <w:szCs w:val="18"/>
              </w:rPr>
              <w:t>Many Arms of “Rhetoric”</w:t>
            </w:r>
          </w:p>
          <w:p w:rsidR="009041C7" w:rsidRDefault="009041C7" w:rsidP="00181B25">
            <w:pPr>
              <w:snapToGrid w:val="0"/>
              <w:spacing w:before="20" w:after="20"/>
              <w:rPr>
                <w:rFonts w:eastAsia="Lucida Sans Unicode" w:cs="Tahoma"/>
                <w:sz w:val="18"/>
                <w:szCs w:val="18"/>
              </w:rPr>
            </w:pPr>
          </w:p>
          <w:p w:rsidR="002243AE" w:rsidRPr="00130CE5" w:rsidRDefault="002243AE" w:rsidP="00181B25">
            <w:pPr>
              <w:snapToGrid w:val="0"/>
              <w:spacing w:before="20" w:after="20"/>
              <w:rPr>
                <w:rFonts w:eastAsia="Lucida Sans Unicode" w:cs="Times"/>
                <w:sz w:val="18"/>
                <w:szCs w:val="18"/>
              </w:rPr>
            </w:pPr>
            <w:r w:rsidRPr="00130CE5">
              <w:rPr>
                <w:rFonts w:eastAsia="Lucida Sans Unicode" w:cs="Times"/>
                <w:sz w:val="18"/>
                <w:szCs w:val="18"/>
              </w:rPr>
              <w:t xml:space="preserve">Have read: </w:t>
            </w:r>
          </w:p>
          <w:p w:rsidR="00A20711" w:rsidRPr="00A20711" w:rsidRDefault="00A20711" w:rsidP="00A20711">
            <w:pPr>
              <w:snapToGrid w:val="0"/>
              <w:spacing w:before="20" w:after="20"/>
              <w:rPr>
                <w:sz w:val="18"/>
              </w:rPr>
            </w:pPr>
            <w:r w:rsidRPr="00A20711">
              <w:rPr>
                <w:sz w:val="18"/>
              </w:rPr>
              <w:t xml:space="preserve">Brock, Kevin. “The ‘Fizzbuzz’ Programming Test: A Case-Based Exploration of Rhetorical Style in Code.” </w:t>
            </w:r>
            <w:r w:rsidRPr="00A20711">
              <w:rPr>
                <w:i/>
                <w:sz w:val="18"/>
              </w:rPr>
              <w:t>Computational Culture: a journal of software studies</w:t>
            </w:r>
            <w:r w:rsidRPr="00A20711">
              <w:rPr>
                <w:sz w:val="18"/>
              </w:rPr>
              <w:t xml:space="preserve">. Issue 5 2016). Online. </w:t>
            </w:r>
          </w:p>
          <w:p w:rsidR="00A20711" w:rsidRPr="00A20711" w:rsidRDefault="00A20711" w:rsidP="00A20711">
            <w:pPr>
              <w:snapToGrid w:val="0"/>
              <w:spacing w:before="20" w:after="20"/>
              <w:rPr>
                <w:sz w:val="18"/>
              </w:rPr>
            </w:pPr>
          </w:p>
          <w:p w:rsidR="00A20711" w:rsidRPr="00A20711" w:rsidRDefault="00A20711" w:rsidP="00A20711">
            <w:pPr>
              <w:snapToGrid w:val="0"/>
              <w:spacing w:before="20" w:after="20"/>
              <w:rPr>
                <w:sz w:val="18"/>
              </w:rPr>
            </w:pPr>
            <w:r w:rsidRPr="00A20711">
              <w:rPr>
                <w:sz w:val="18"/>
              </w:rPr>
              <w:t xml:space="preserve">Dougherty, Timothy. “Lost in TransNation: The Limits of Constitutive Nationalism in the Fenian Movement.” </w:t>
            </w:r>
            <w:r w:rsidRPr="00A20711">
              <w:rPr>
                <w:i/>
                <w:sz w:val="18"/>
              </w:rPr>
              <w:t>Rhetoric Society Quarterly</w:t>
            </w:r>
            <w:r w:rsidRPr="00A20711">
              <w:rPr>
                <w:sz w:val="18"/>
              </w:rPr>
              <w:t>. 45.4 (2015): 346-368. Print.</w:t>
            </w:r>
          </w:p>
          <w:p w:rsidR="00A20711" w:rsidRPr="00A20711" w:rsidRDefault="00A20711" w:rsidP="00A20711">
            <w:pPr>
              <w:snapToGrid w:val="0"/>
              <w:spacing w:before="20" w:after="20"/>
              <w:rPr>
                <w:sz w:val="18"/>
              </w:rPr>
            </w:pPr>
          </w:p>
          <w:p w:rsidR="00A20711" w:rsidRPr="00A20711" w:rsidRDefault="00A20711" w:rsidP="00A20711">
            <w:pPr>
              <w:snapToGrid w:val="0"/>
              <w:spacing w:before="20" w:after="20"/>
              <w:rPr>
                <w:sz w:val="18"/>
              </w:rPr>
            </w:pPr>
            <w:r w:rsidRPr="00A20711">
              <w:rPr>
                <w:sz w:val="18"/>
              </w:rPr>
              <w:t xml:space="preserve">Jensen, Robin E “Improving Upon Nature: The Rhetorical Ecology of Chemical Language, Reproductive Endocrinology, and the Medicalization of Infertility.” </w:t>
            </w:r>
            <w:r w:rsidRPr="00A20711">
              <w:rPr>
                <w:i/>
                <w:sz w:val="18"/>
              </w:rPr>
              <w:t>Quarterly Journal of Speech</w:t>
            </w:r>
            <w:r w:rsidRPr="00A20711">
              <w:rPr>
                <w:sz w:val="18"/>
              </w:rPr>
              <w:t xml:space="preserve">. 101.2 (2015): 329-353. Print. </w:t>
            </w:r>
          </w:p>
          <w:p w:rsidR="00A20711" w:rsidRPr="00A20711" w:rsidRDefault="00A20711" w:rsidP="00A20711">
            <w:pPr>
              <w:snapToGrid w:val="0"/>
              <w:spacing w:before="20" w:after="20"/>
              <w:rPr>
                <w:sz w:val="18"/>
              </w:rPr>
            </w:pPr>
          </w:p>
          <w:p w:rsidR="00D33F47" w:rsidRDefault="00A20711" w:rsidP="00A20711">
            <w:pPr>
              <w:snapToGrid w:val="0"/>
              <w:spacing w:before="20" w:after="20"/>
              <w:rPr>
                <w:sz w:val="18"/>
              </w:rPr>
            </w:pPr>
            <w:r w:rsidRPr="00A20711">
              <w:rPr>
                <w:sz w:val="18"/>
              </w:rPr>
              <w:t xml:space="preserve">Oddo, J. “Discourse-based methods across texts and semiotic modes: Three tools for micro-rhetorical analysis.” </w:t>
            </w:r>
            <w:r w:rsidRPr="00A20711">
              <w:rPr>
                <w:i/>
                <w:sz w:val="18"/>
              </w:rPr>
              <w:t>Written Communication</w:t>
            </w:r>
            <w:r w:rsidRPr="00A20711">
              <w:rPr>
                <w:sz w:val="18"/>
              </w:rPr>
              <w:t>. 30.3 (2013): 236-275. Print.</w:t>
            </w:r>
          </w:p>
          <w:p w:rsidR="00663A32" w:rsidRDefault="00663A32" w:rsidP="00A20711">
            <w:pPr>
              <w:snapToGrid w:val="0"/>
              <w:spacing w:before="20" w:after="20"/>
              <w:rPr>
                <w:sz w:val="18"/>
              </w:rPr>
            </w:pPr>
          </w:p>
          <w:p w:rsidR="00663A32" w:rsidRPr="00663A32" w:rsidRDefault="00663A32" w:rsidP="00A20711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Due: Journal Crib Sheet</w:t>
            </w:r>
          </w:p>
        </w:tc>
      </w:tr>
      <w:tr w:rsidR="00937EA9" w:rsidTr="00181B25"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3</w:t>
            </w:r>
          </w:p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</w:t>
            </w:r>
            <w:r w:rsidR="005C27AB">
              <w:rPr>
                <w:sz w:val="18"/>
              </w:rPr>
              <w:t>h 2/4</w:t>
            </w:r>
          </w:p>
        </w:tc>
        <w:tc>
          <w:tcPr>
            <w:tcW w:w="8460" w:type="dxa"/>
          </w:tcPr>
          <w:p w:rsidR="00937EA9" w:rsidRPr="00D33F47" w:rsidRDefault="00EA16A7" w:rsidP="00181B25">
            <w:pPr>
              <w:snapToGrid w:val="0"/>
              <w:spacing w:before="20" w:after="20"/>
              <w:rPr>
                <w:b/>
                <w:sz w:val="18"/>
              </w:rPr>
            </w:pPr>
            <w:r w:rsidRPr="00D33F47">
              <w:rPr>
                <w:b/>
                <w:sz w:val="18"/>
              </w:rPr>
              <w:t xml:space="preserve">Topic: </w:t>
            </w:r>
            <w:r w:rsidR="008C6ACC">
              <w:rPr>
                <w:b/>
                <w:sz w:val="18"/>
              </w:rPr>
              <w:t>Structuralism</w:t>
            </w:r>
          </w:p>
          <w:p w:rsidR="009041C7" w:rsidRDefault="009041C7" w:rsidP="00181B25">
            <w:pPr>
              <w:snapToGrid w:val="0"/>
              <w:spacing w:before="20" w:after="20"/>
              <w:rPr>
                <w:sz w:val="18"/>
              </w:rPr>
            </w:pPr>
          </w:p>
          <w:p w:rsidR="009041C7" w:rsidRDefault="009041C7" w:rsidP="00181B25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Have Read: </w:t>
            </w:r>
          </w:p>
          <w:p w:rsidR="002E439D" w:rsidRDefault="002E439D" w:rsidP="00323E0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Cixous, </w:t>
            </w:r>
            <w:r w:rsidRPr="00A20711">
              <w:rPr>
                <w:sz w:val="18"/>
              </w:rPr>
              <w:t>Hélène</w:t>
            </w:r>
            <w:r>
              <w:rPr>
                <w:sz w:val="18"/>
              </w:rPr>
              <w:t xml:space="preserve">. “The Laugh of Medusa.” </w:t>
            </w:r>
            <w:r>
              <w:rPr>
                <w:i/>
                <w:sz w:val="18"/>
              </w:rPr>
              <w:t xml:space="preserve">Signs. </w:t>
            </w:r>
            <w:r>
              <w:rPr>
                <w:sz w:val="18"/>
              </w:rPr>
              <w:t>1.4 (1976): 875-893. (find online)</w:t>
            </w:r>
          </w:p>
          <w:p w:rsidR="002E439D" w:rsidRDefault="002E439D" w:rsidP="00323E0E">
            <w:pPr>
              <w:snapToGrid w:val="0"/>
              <w:spacing w:before="20" w:after="20"/>
              <w:rPr>
                <w:sz w:val="18"/>
              </w:rPr>
            </w:pPr>
          </w:p>
          <w:p w:rsidR="00AE7C63" w:rsidRDefault="00AE7C63" w:rsidP="00323E0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De Saussure, Ferdinand. </w:t>
            </w:r>
            <w:r>
              <w:rPr>
                <w:i/>
                <w:sz w:val="18"/>
              </w:rPr>
              <w:t>Course in General Linguistics</w:t>
            </w:r>
            <w:r>
              <w:rPr>
                <w:sz w:val="18"/>
              </w:rPr>
              <w:t>. pp 1-37. (on Learn)</w:t>
            </w:r>
          </w:p>
          <w:p w:rsidR="002E439D" w:rsidRDefault="002E439D" w:rsidP="008C6ACC">
            <w:pPr>
              <w:snapToGrid w:val="0"/>
              <w:spacing w:before="20" w:after="20"/>
              <w:rPr>
                <w:sz w:val="18"/>
              </w:rPr>
            </w:pPr>
          </w:p>
          <w:p w:rsidR="008C6ACC" w:rsidRDefault="00F71A3E" w:rsidP="008C6ACC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Lorde, Audre. “The Uses of the Erotic.” (on Learn)</w:t>
            </w:r>
          </w:p>
        </w:tc>
      </w:tr>
      <w:tr w:rsidR="00937EA9" w:rsidTr="00231BB0"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4</w:t>
            </w:r>
          </w:p>
          <w:p w:rsidR="00D33F47" w:rsidRDefault="009541D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</w:t>
            </w:r>
            <w:r w:rsidR="005C27AB">
              <w:rPr>
                <w:sz w:val="18"/>
              </w:rPr>
              <w:t>h 2/11</w:t>
            </w:r>
          </w:p>
        </w:tc>
        <w:tc>
          <w:tcPr>
            <w:tcW w:w="8460" w:type="dxa"/>
            <w:shd w:val="clear" w:color="auto" w:fill="auto"/>
          </w:tcPr>
          <w:p w:rsidR="00231BB0" w:rsidRDefault="00D33F47" w:rsidP="00323E0E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 w:rsidR="00A20711">
              <w:rPr>
                <w:b/>
                <w:sz w:val="18"/>
              </w:rPr>
              <w:t xml:space="preserve">Topic: Who gets to Speak? </w:t>
            </w:r>
          </w:p>
          <w:p w:rsidR="00A20711" w:rsidRDefault="00A20711" w:rsidP="00323E0E">
            <w:pPr>
              <w:snapToGrid w:val="0"/>
              <w:spacing w:before="20" w:after="20"/>
              <w:rPr>
                <w:b/>
                <w:sz w:val="18"/>
              </w:rPr>
            </w:pPr>
          </w:p>
          <w:p w:rsidR="00A20711" w:rsidRDefault="00A20711" w:rsidP="00323E0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Have read: </w:t>
            </w:r>
          </w:p>
          <w:p w:rsidR="005D4878" w:rsidRDefault="002E439D" w:rsidP="00323E0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Bourdieu, Pierre </w:t>
            </w:r>
            <w:r>
              <w:rPr>
                <w:i/>
                <w:sz w:val="18"/>
              </w:rPr>
              <w:t xml:space="preserve">Language and Symbolic Power </w:t>
            </w:r>
            <w:r>
              <w:rPr>
                <w:sz w:val="18"/>
              </w:rPr>
              <w:t>pp. 37-65 (on Learn)</w:t>
            </w:r>
          </w:p>
          <w:p w:rsidR="002E439D" w:rsidRDefault="002E439D" w:rsidP="00323E0E">
            <w:pPr>
              <w:snapToGrid w:val="0"/>
              <w:spacing w:before="20" w:after="20"/>
              <w:rPr>
                <w:sz w:val="18"/>
              </w:rPr>
            </w:pPr>
          </w:p>
          <w:p w:rsidR="00F71A3E" w:rsidRDefault="00F71A3E" w:rsidP="00323E0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hooks, bell. Selections from </w:t>
            </w:r>
            <w:r>
              <w:rPr>
                <w:i/>
                <w:sz w:val="18"/>
              </w:rPr>
              <w:t>Talking Back: Thinking feminist, Thinking Black</w:t>
            </w:r>
            <w:r>
              <w:rPr>
                <w:sz w:val="18"/>
              </w:rPr>
              <w:t>. Chapter 2 “Talking Back,”</w:t>
            </w:r>
            <w:r w:rsidR="002E439D">
              <w:rPr>
                <w:sz w:val="18"/>
              </w:rPr>
              <w:t xml:space="preserve"> (on Learn)</w:t>
            </w:r>
          </w:p>
          <w:p w:rsidR="002E439D" w:rsidRDefault="002E439D" w:rsidP="00323E0E">
            <w:pPr>
              <w:snapToGrid w:val="0"/>
              <w:spacing w:before="20" w:after="20"/>
              <w:rPr>
                <w:sz w:val="18"/>
              </w:rPr>
            </w:pPr>
          </w:p>
          <w:p w:rsidR="002E439D" w:rsidRDefault="002E439D" w:rsidP="00323E0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Schuster, Mary Lay and Amy Propen. </w:t>
            </w:r>
            <w:r w:rsidRPr="002E439D">
              <w:rPr>
                <w:sz w:val="18"/>
              </w:rPr>
              <w:t xml:space="preserve">“Understanding Genre Through the Lens of Advocacy: The Rhetorical Work </w:t>
            </w:r>
            <w:r>
              <w:rPr>
                <w:sz w:val="18"/>
              </w:rPr>
              <w:t xml:space="preserve">of the Victim Impact Statement.” </w:t>
            </w:r>
            <w:r w:rsidRPr="002E439D">
              <w:rPr>
                <w:i/>
                <w:sz w:val="18"/>
              </w:rPr>
              <w:t>Written Communication</w:t>
            </w:r>
            <w:r w:rsidRPr="002E439D">
              <w:rPr>
                <w:sz w:val="18"/>
              </w:rPr>
              <w:t>, 27 (2010): 3-35.</w:t>
            </w:r>
            <w:r>
              <w:rPr>
                <w:sz w:val="18"/>
              </w:rPr>
              <w:t xml:space="preserve"> (find online)</w:t>
            </w:r>
          </w:p>
          <w:p w:rsidR="002E439D" w:rsidRDefault="002E439D" w:rsidP="00323E0E">
            <w:pPr>
              <w:snapToGrid w:val="0"/>
              <w:spacing w:before="20" w:after="20"/>
              <w:rPr>
                <w:sz w:val="18"/>
              </w:rPr>
            </w:pPr>
          </w:p>
          <w:p w:rsidR="00663A32" w:rsidRPr="00235A36" w:rsidRDefault="002E439D" w:rsidP="00323E0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Spivak, Gayatri Chakravorty. “Can the Subaltern Speak?” (on Learn)</w:t>
            </w:r>
          </w:p>
        </w:tc>
      </w:tr>
      <w:tr w:rsidR="00937EA9" w:rsidTr="00231BB0"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5</w:t>
            </w:r>
          </w:p>
          <w:p w:rsidR="00D33F4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2/18</w:t>
            </w:r>
          </w:p>
        </w:tc>
        <w:tc>
          <w:tcPr>
            <w:tcW w:w="8460" w:type="dxa"/>
            <w:shd w:val="clear" w:color="auto" w:fill="auto"/>
          </w:tcPr>
          <w:p w:rsidR="009A37F4" w:rsidRDefault="00EA16A7" w:rsidP="00181B25">
            <w:pPr>
              <w:snapToGrid w:val="0"/>
              <w:spacing w:before="20" w:after="20"/>
              <w:rPr>
                <w:b/>
                <w:sz w:val="18"/>
              </w:rPr>
            </w:pPr>
            <w:r w:rsidRPr="003A32E7">
              <w:rPr>
                <w:b/>
                <w:sz w:val="18"/>
              </w:rPr>
              <w:t xml:space="preserve">Topic: </w:t>
            </w:r>
            <w:r w:rsidR="008C6ACC">
              <w:rPr>
                <w:b/>
                <w:sz w:val="18"/>
              </w:rPr>
              <w:t>The New Rhetoric</w:t>
            </w:r>
            <w:r w:rsidR="005E5219">
              <w:rPr>
                <w:b/>
                <w:sz w:val="18"/>
              </w:rPr>
              <w:t>/Richard Weaver</w:t>
            </w:r>
          </w:p>
          <w:p w:rsidR="005C27AB" w:rsidRDefault="005C27AB" w:rsidP="00181B25">
            <w:pPr>
              <w:snapToGrid w:val="0"/>
              <w:spacing w:before="20" w:after="20"/>
              <w:rPr>
                <w:sz w:val="18"/>
              </w:rPr>
            </w:pPr>
          </w:p>
          <w:p w:rsidR="009A37F4" w:rsidRDefault="009A37F4" w:rsidP="00181B25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Have read:</w:t>
            </w:r>
          </w:p>
          <w:p w:rsidR="00B8649E" w:rsidRPr="000334C5" w:rsidRDefault="000334C5" w:rsidP="00181B25">
            <w:pPr>
              <w:snapToGrid w:val="0"/>
              <w:spacing w:before="20" w:after="20"/>
              <w:rPr>
                <w:sz w:val="18"/>
              </w:rPr>
            </w:pPr>
            <w:r w:rsidRPr="000334C5">
              <w:rPr>
                <w:sz w:val="18"/>
              </w:rPr>
              <w:t>Perelman, C.</w:t>
            </w:r>
            <w:r>
              <w:rPr>
                <w:sz w:val="18"/>
              </w:rPr>
              <w:t xml:space="preserve"> and Olbrechts-Tyteca, L</w:t>
            </w:r>
            <w:r w:rsidRPr="000334C5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Selections from </w:t>
            </w:r>
            <w:r w:rsidRPr="000334C5">
              <w:rPr>
                <w:i/>
                <w:sz w:val="18"/>
              </w:rPr>
              <w:t>The New Rhetoric: A treatise on argumentation</w:t>
            </w:r>
            <w:r>
              <w:rPr>
                <w:sz w:val="18"/>
              </w:rPr>
              <w:t>. (1969) (on Learn)</w:t>
            </w:r>
          </w:p>
          <w:p w:rsidR="00B8649E" w:rsidRDefault="00B8649E" w:rsidP="00181B25">
            <w:pPr>
              <w:snapToGrid w:val="0"/>
              <w:spacing w:before="20" w:after="20"/>
              <w:rPr>
                <w:sz w:val="18"/>
              </w:rPr>
            </w:pPr>
          </w:p>
          <w:p w:rsidR="00D33F47" w:rsidRPr="000334C5" w:rsidRDefault="00B8649E" w:rsidP="00181B25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Weaver, Richard. “Language is Sermonic (on Learn)</w:t>
            </w:r>
          </w:p>
        </w:tc>
      </w:tr>
      <w:tr w:rsidR="00937EA9" w:rsidTr="00231BB0">
        <w:tc>
          <w:tcPr>
            <w:tcW w:w="1103" w:type="dxa"/>
          </w:tcPr>
          <w:p w:rsidR="00937EA9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6</w:t>
            </w:r>
          </w:p>
          <w:p w:rsidR="00D33F4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2/25</w:t>
            </w:r>
          </w:p>
        </w:tc>
        <w:tc>
          <w:tcPr>
            <w:tcW w:w="8460" w:type="dxa"/>
            <w:shd w:val="clear" w:color="auto" w:fill="auto"/>
          </w:tcPr>
          <w:p w:rsidR="00937EA9" w:rsidRPr="00D33F47" w:rsidRDefault="00EA16A7" w:rsidP="00181B25">
            <w:pPr>
              <w:snapToGrid w:val="0"/>
              <w:spacing w:before="20" w:after="20"/>
              <w:rPr>
                <w:b/>
                <w:sz w:val="18"/>
              </w:rPr>
            </w:pPr>
            <w:r w:rsidRPr="00D33F47">
              <w:rPr>
                <w:b/>
                <w:sz w:val="18"/>
              </w:rPr>
              <w:t xml:space="preserve">Topic: </w:t>
            </w:r>
            <w:r w:rsidR="008C6ACC">
              <w:rPr>
                <w:b/>
                <w:sz w:val="18"/>
              </w:rPr>
              <w:t>Kenneth Burke</w:t>
            </w:r>
            <w:r w:rsidR="00A453D4">
              <w:rPr>
                <w:b/>
                <w:sz w:val="18"/>
              </w:rPr>
              <w:t xml:space="preserve"> - Dramatism</w:t>
            </w:r>
          </w:p>
          <w:p w:rsidR="00D33F47" w:rsidRDefault="00D33F47" w:rsidP="007D068D">
            <w:pPr>
              <w:snapToGrid w:val="0"/>
              <w:spacing w:before="20" w:after="20"/>
              <w:rPr>
                <w:sz w:val="18"/>
              </w:rPr>
            </w:pPr>
          </w:p>
          <w:p w:rsidR="00A453D4" w:rsidRDefault="007D068D" w:rsidP="005C27AB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Have read: </w:t>
            </w:r>
          </w:p>
          <w:p w:rsidR="00A20711" w:rsidRPr="00B8649E" w:rsidRDefault="00B8649E" w:rsidP="005C27AB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Blakesley, David. Selections from </w:t>
            </w:r>
            <w:r>
              <w:rPr>
                <w:i/>
                <w:sz w:val="18"/>
              </w:rPr>
              <w:t>Dramatism</w:t>
            </w:r>
            <w:r>
              <w:rPr>
                <w:sz w:val="18"/>
              </w:rPr>
              <w:t xml:space="preserve"> (on Learn)</w:t>
            </w:r>
          </w:p>
          <w:p w:rsidR="002E439D" w:rsidRDefault="002E439D" w:rsidP="005C27AB">
            <w:pPr>
              <w:snapToGrid w:val="0"/>
              <w:spacing w:before="20" w:after="20"/>
              <w:rPr>
                <w:sz w:val="18"/>
              </w:rPr>
            </w:pPr>
          </w:p>
          <w:p w:rsidR="00323E0E" w:rsidRDefault="00A20711" w:rsidP="005C27AB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Burke, Kenneth. “Questions and Answers about the Pentad.” </w:t>
            </w:r>
            <w:r>
              <w:rPr>
                <w:i/>
                <w:sz w:val="18"/>
              </w:rPr>
              <w:t xml:space="preserve">College Composition and Communication. </w:t>
            </w:r>
            <w:r>
              <w:rPr>
                <w:sz w:val="18"/>
              </w:rPr>
              <w:t>29.4 (1978): 330-335. Print.</w:t>
            </w:r>
            <w:r w:rsidR="002E439D">
              <w:rPr>
                <w:sz w:val="18"/>
              </w:rPr>
              <w:t xml:space="preserve"> (on Learn)</w:t>
            </w:r>
          </w:p>
          <w:p w:rsidR="00663A32" w:rsidRDefault="00663A32" w:rsidP="005C27AB">
            <w:pPr>
              <w:snapToGrid w:val="0"/>
              <w:spacing w:before="20" w:after="20"/>
              <w:rPr>
                <w:sz w:val="18"/>
              </w:rPr>
            </w:pPr>
          </w:p>
          <w:p w:rsidR="00663A32" w:rsidRPr="00663A32" w:rsidRDefault="00663A32" w:rsidP="005C27AB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Due: Conference Proposal</w:t>
            </w:r>
          </w:p>
        </w:tc>
      </w:tr>
      <w:tr w:rsidR="00937EA9" w:rsidTr="00231BB0"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lastRenderedPageBreak/>
              <w:t>Week 7</w:t>
            </w:r>
          </w:p>
          <w:p w:rsidR="00D33F4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3/3</w:t>
            </w:r>
          </w:p>
        </w:tc>
        <w:tc>
          <w:tcPr>
            <w:tcW w:w="8460" w:type="dxa"/>
            <w:shd w:val="clear" w:color="auto" w:fill="auto"/>
          </w:tcPr>
          <w:p w:rsidR="00937EA9" w:rsidRPr="003A32E7" w:rsidRDefault="00EA16A7" w:rsidP="00181B25">
            <w:pPr>
              <w:snapToGrid w:val="0"/>
              <w:spacing w:before="20" w:after="20"/>
              <w:rPr>
                <w:b/>
                <w:sz w:val="18"/>
              </w:rPr>
            </w:pPr>
            <w:r w:rsidRPr="003A32E7">
              <w:rPr>
                <w:b/>
                <w:sz w:val="18"/>
              </w:rPr>
              <w:t xml:space="preserve">Topic: </w:t>
            </w:r>
            <w:r w:rsidR="008C6ACC">
              <w:rPr>
                <w:b/>
                <w:sz w:val="18"/>
              </w:rPr>
              <w:t xml:space="preserve">Kenneth Burke: </w:t>
            </w:r>
            <w:r w:rsidR="00A453D4">
              <w:rPr>
                <w:b/>
                <w:sz w:val="18"/>
              </w:rPr>
              <w:t>Identification</w:t>
            </w:r>
          </w:p>
          <w:p w:rsidR="00231BB0" w:rsidRDefault="00231BB0" w:rsidP="00181B25">
            <w:pPr>
              <w:snapToGrid w:val="0"/>
              <w:spacing w:before="20" w:after="20"/>
              <w:rPr>
                <w:sz w:val="18"/>
              </w:rPr>
            </w:pPr>
          </w:p>
          <w:p w:rsidR="00A453D4" w:rsidRDefault="007D068D" w:rsidP="00D33F4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Have Read: </w:t>
            </w:r>
          </w:p>
          <w:p w:rsidR="003223D7" w:rsidRPr="002E439D" w:rsidRDefault="00A453D4" w:rsidP="00D33F4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Burke – </w:t>
            </w:r>
            <w:r>
              <w:rPr>
                <w:i/>
                <w:sz w:val="18"/>
              </w:rPr>
              <w:t>The Rhetoric of Motives</w:t>
            </w:r>
            <w:r w:rsidR="002E439D">
              <w:rPr>
                <w:sz w:val="18"/>
              </w:rPr>
              <w:t xml:space="preserve"> (on Learn)</w:t>
            </w:r>
          </w:p>
          <w:p w:rsidR="002E439D" w:rsidRDefault="002E439D" w:rsidP="00D33F47">
            <w:pPr>
              <w:snapToGrid w:val="0"/>
              <w:spacing w:before="20" w:after="20"/>
              <w:rPr>
                <w:sz w:val="18"/>
              </w:rPr>
            </w:pPr>
          </w:p>
          <w:p w:rsidR="000334C5" w:rsidRDefault="000334C5" w:rsidP="00D33F47">
            <w:pPr>
              <w:snapToGrid w:val="0"/>
              <w:spacing w:before="20" w:after="20"/>
              <w:rPr>
                <w:sz w:val="18"/>
              </w:rPr>
            </w:pPr>
            <w:r w:rsidRPr="000334C5">
              <w:rPr>
                <w:sz w:val="18"/>
              </w:rPr>
              <w:t>Miller, Carolyn R. "Genre as social action</w:t>
            </w:r>
            <w:r w:rsidRPr="00663A32">
              <w:rPr>
                <w:i/>
                <w:sz w:val="18"/>
              </w:rPr>
              <w:t>." Quarterly</w:t>
            </w:r>
            <w:r w:rsidR="00663A32">
              <w:rPr>
                <w:i/>
                <w:sz w:val="18"/>
              </w:rPr>
              <w:t xml:space="preserve"> J</w:t>
            </w:r>
            <w:r w:rsidRPr="00663A32">
              <w:rPr>
                <w:i/>
                <w:sz w:val="18"/>
              </w:rPr>
              <w:t xml:space="preserve">ournal of </w:t>
            </w:r>
            <w:r w:rsidR="00663A32">
              <w:rPr>
                <w:i/>
                <w:sz w:val="18"/>
              </w:rPr>
              <w:t>S</w:t>
            </w:r>
            <w:r w:rsidRPr="00663A32">
              <w:rPr>
                <w:i/>
                <w:sz w:val="18"/>
              </w:rPr>
              <w:t>peech</w:t>
            </w:r>
            <w:r w:rsidR="00663A32">
              <w:rPr>
                <w:sz w:val="18"/>
              </w:rPr>
              <w:t>.</w:t>
            </w:r>
            <w:r w:rsidRPr="000334C5">
              <w:rPr>
                <w:sz w:val="18"/>
              </w:rPr>
              <w:t xml:space="preserve"> 70.2 (1984): 151-167.</w:t>
            </w:r>
            <w:r>
              <w:rPr>
                <w:sz w:val="18"/>
              </w:rPr>
              <w:t xml:space="preserve"> (find online)</w:t>
            </w:r>
          </w:p>
          <w:p w:rsidR="000334C5" w:rsidRDefault="000334C5" w:rsidP="00D33F47">
            <w:pPr>
              <w:snapToGrid w:val="0"/>
              <w:spacing w:before="20" w:after="20"/>
              <w:rPr>
                <w:sz w:val="18"/>
              </w:rPr>
            </w:pPr>
          </w:p>
          <w:p w:rsidR="00A453D4" w:rsidRPr="00A453D4" w:rsidRDefault="00A453D4" w:rsidP="00D33F4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Ratcliffe – </w:t>
            </w:r>
            <w:r w:rsidRPr="00A453D4">
              <w:rPr>
                <w:i/>
                <w:sz w:val="18"/>
              </w:rPr>
              <w:t>Rhetorical Listening: Identification, Gender, Whiteness</w:t>
            </w:r>
            <w:r>
              <w:rPr>
                <w:sz w:val="18"/>
              </w:rPr>
              <w:t xml:space="preserve"> chapter 2 (pp. 47-77)</w:t>
            </w:r>
            <w:r w:rsidR="002E439D">
              <w:rPr>
                <w:sz w:val="18"/>
              </w:rPr>
              <w:t xml:space="preserve"> (on Learn)</w:t>
            </w:r>
          </w:p>
        </w:tc>
      </w:tr>
      <w:tr w:rsidR="00937EA9" w:rsidTr="00231BB0"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8</w:t>
            </w:r>
          </w:p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</w:t>
            </w:r>
            <w:r w:rsidR="005C27AB">
              <w:rPr>
                <w:sz w:val="18"/>
              </w:rPr>
              <w:t>h 3/10</w:t>
            </w:r>
          </w:p>
        </w:tc>
        <w:tc>
          <w:tcPr>
            <w:tcW w:w="8460" w:type="dxa"/>
            <w:shd w:val="clear" w:color="auto" w:fill="auto"/>
          </w:tcPr>
          <w:p w:rsidR="00D33F47" w:rsidRDefault="00A453D4" w:rsidP="00A453D4">
            <w:pPr>
              <w:snapToGrid w:val="0"/>
              <w:spacing w:before="20" w:after="20"/>
              <w:rPr>
                <w:b/>
                <w:sz w:val="18"/>
              </w:rPr>
            </w:pPr>
            <w:r w:rsidRPr="00A453D4">
              <w:rPr>
                <w:b/>
                <w:sz w:val="18"/>
              </w:rPr>
              <w:t>Topic: Toulmin</w:t>
            </w:r>
          </w:p>
          <w:p w:rsidR="00A453D4" w:rsidRDefault="00A453D4" w:rsidP="00A453D4">
            <w:pPr>
              <w:snapToGrid w:val="0"/>
              <w:spacing w:before="20" w:after="20"/>
              <w:rPr>
                <w:b/>
                <w:sz w:val="18"/>
              </w:rPr>
            </w:pPr>
          </w:p>
          <w:p w:rsidR="00AE7C63" w:rsidRDefault="00A453D4" w:rsidP="00A453D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Have read: </w:t>
            </w:r>
          </w:p>
          <w:p w:rsidR="00AE7C63" w:rsidRPr="00A453D4" w:rsidRDefault="00A453D4" w:rsidP="00A453D4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Toulmin </w:t>
            </w:r>
            <w:r>
              <w:rPr>
                <w:i/>
                <w:sz w:val="18"/>
              </w:rPr>
              <w:t>The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Uses of Argument </w:t>
            </w:r>
            <w:r>
              <w:rPr>
                <w:sz w:val="18"/>
              </w:rPr>
              <w:t>Chapter 3 (“The Layout of Arguments”)</w:t>
            </w:r>
            <w:r w:rsidR="00AE7C63">
              <w:rPr>
                <w:sz w:val="18"/>
              </w:rPr>
              <w:t xml:space="preserve"> (find online)</w:t>
            </w:r>
          </w:p>
        </w:tc>
      </w:tr>
      <w:tr w:rsidR="00D33F47" w:rsidTr="003A32E7">
        <w:trPr>
          <w:trHeight w:val="509"/>
        </w:trPr>
        <w:tc>
          <w:tcPr>
            <w:tcW w:w="9563" w:type="dxa"/>
            <w:gridSpan w:val="2"/>
            <w:shd w:val="clear" w:color="auto" w:fill="D9D9D9" w:themeFill="background1" w:themeFillShade="D9"/>
          </w:tcPr>
          <w:p w:rsidR="003A32E7" w:rsidRDefault="003A32E7" w:rsidP="003A32E7">
            <w:pPr>
              <w:snapToGrid w:val="0"/>
              <w:spacing w:before="20" w:after="20"/>
              <w:jc w:val="center"/>
              <w:rPr>
                <w:b/>
                <w:sz w:val="18"/>
              </w:rPr>
            </w:pPr>
          </w:p>
          <w:p w:rsidR="00D33F47" w:rsidRDefault="00D33F47" w:rsidP="003A32E7">
            <w:pPr>
              <w:snapToGrid w:val="0"/>
              <w:spacing w:before="20" w:after="20"/>
              <w:jc w:val="center"/>
              <w:rPr>
                <w:b/>
                <w:sz w:val="18"/>
              </w:rPr>
            </w:pPr>
            <w:r w:rsidRPr="003A32E7">
              <w:rPr>
                <w:b/>
                <w:sz w:val="18"/>
              </w:rPr>
              <w:t>No Classes: Spring Break</w:t>
            </w:r>
          </w:p>
          <w:p w:rsidR="003A32E7" w:rsidRPr="003A32E7" w:rsidRDefault="005C27AB" w:rsidP="003A32E7">
            <w:pPr>
              <w:snapToGrid w:val="0"/>
              <w:spacing w:before="2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3/14-18</w:t>
            </w:r>
          </w:p>
          <w:p w:rsidR="003A32E7" w:rsidRDefault="003A32E7" w:rsidP="00181B25">
            <w:pPr>
              <w:snapToGrid w:val="0"/>
              <w:spacing w:before="20" w:after="20"/>
              <w:rPr>
                <w:sz w:val="18"/>
              </w:rPr>
            </w:pPr>
          </w:p>
        </w:tc>
      </w:tr>
      <w:tr w:rsidR="00D33F47" w:rsidTr="007E1E8E">
        <w:trPr>
          <w:trHeight w:val="963"/>
        </w:trPr>
        <w:tc>
          <w:tcPr>
            <w:tcW w:w="1103" w:type="dxa"/>
          </w:tcPr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9</w:t>
            </w:r>
          </w:p>
          <w:p w:rsidR="00D33F47" w:rsidRDefault="00D33F4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</w:t>
            </w:r>
            <w:r w:rsidR="005C27AB">
              <w:rPr>
                <w:sz w:val="18"/>
              </w:rPr>
              <w:t>h 3/24</w:t>
            </w:r>
          </w:p>
        </w:tc>
        <w:tc>
          <w:tcPr>
            <w:tcW w:w="8460" w:type="dxa"/>
            <w:shd w:val="clear" w:color="auto" w:fill="auto"/>
          </w:tcPr>
          <w:p w:rsidR="009E0C23" w:rsidRPr="003A32E7" w:rsidRDefault="009E0C23" w:rsidP="009E0C23">
            <w:pPr>
              <w:snapToGrid w:val="0"/>
              <w:spacing w:before="20" w:after="20"/>
              <w:rPr>
                <w:b/>
                <w:sz w:val="18"/>
                <w:szCs w:val="18"/>
              </w:rPr>
            </w:pPr>
            <w:r w:rsidRPr="003A32E7">
              <w:rPr>
                <w:b/>
                <w:sz w:val="18"/>
                <w:szCs w:val="18"/>
              </w:rPr>
              <w:t xml:space="preserve">Topic: </w:t>
            </w:r>
            <w:r w:rsidR="0041334D">
              <w:rPr>
                <w:b/>
                <w:sz w:val="18"/>
                <w:szCs w:val="18"/>
              </w:rPr>
              <w:t>Science</w:t>
            </w:r>
            <w:r w:rsidR="00663A32">
              <w:rPr>
                <w:b/>
                <w:sz w:val="18"/>
                <w:szCs w:val="18"/>
              </w:rPr>
              <w:t xml:space="preserve"> and</w:t>
            </w:r>
            <w:r w:rsidR="0041334D">
              <w:rPr>
                <w:b/>
                <w:sz w:val="18"/>
                <w:szCs w:val="18"/>
              </w:rPr>
              <w:t xml:space="preserve"> Medicine in Rhetoric</w:t>
            </w:r>
          </w:p>
          <w:p w:rsidR="009E0C23" w:rsidRPr="009A37F4" w:rsidRDefault="009E0C23" w:rsidP="009E0C23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  <w:p w:rsidR="00B8649E" w:rsidRPr="00B8649E" w:rsidRDefault="009E0C23" w:rsidP="00B8649E">
            <w:pPr>
              <w:rPr>
                <w:rFonts w:ascii="Times New Roman" w:hAnsi="Times New Roman"/>
                <w:sz w:val="18"/>
                <w:szCs w:val="18"/>
              </w:rPr>
            </w:pPr>
            <w:r w:rsidRPr="009A37F4">
              <w:rPr>
                <w:sz w:val="18"/>
                <w:szCs w:val="18"/>
              </w:rPr>
              <w:t xml:space="preserve">Have read: </w:t>
            </w:r>
          </w:p>
          <w:p w:rsidR="0041334D" w:rsidRDefault="0041334D" w:rsidP="0041334D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Latour, Bruno. “Visualization and Cognition: Drawing Things Together.” (on Learn)</w:t>
            </w:r>
          </w:p>
          <w:p w:rsidR="00265821" w:rsidRDefault="00265821" w:rsidP="0041334D">
            <w:pPr>
              <w:snapToGrid w:val="0"/>
              <w:spacing w:before="20" w:after="20"/>
              <w:rPr>
                <w:sz w:val="18"/>
              </w:rPr>
            </w:pPr>
          </w:p>
          <w:p w:rsidR="00265821" w:rsidRPr="00265821" w:rsidRDefault="00265821" w:rsidP="0041334D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Schuster, Mary Lay. “A Different Place to Birth: A Material Rhetoric Analysis of Baby Haven, a Free-Standing Birth Center.” </w:t>
            </w:r>
            <w:r>
              <w:rPr>
                <w:i/>
                <w:sz w:val="18"/>
              </w:rPr>
              <w:t>Women’s Studies in Communication</w:t>
            </w:r>
            <w:r>
              <w:rPr>
                <w:sz w:val="18"/>
              </w:rPr>
              <w:t>. 29.1(2006): 1-38. (find online)</w:t>
            </w:r>
          </w:p>
          <w:p w:rsidR="00265821" w:rsidRDefault="00265821" w:rsidP="0041334D">
            <w:pPr>
              <w:snapToGrid w:val="0"/>
              <w:spacing w:before="20" w:after="20"/>
              <w:rPr>
                <w:sz w:val="18"/>
              </w:rPr>
            </w:pPr>
          </w:p>
          <w:p w:rsidR="0041334D" w:rsidRPr="0041334D" w:rsidRDefault="0041334D" w:rsidP="0041334D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Teston, Christa.</w:t>
            </w:r>
            <w:r w:rsidRPr="0041334D">
              <w:rPr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 w:rsidRPr="0041334D">
              <w:rPr>
                <w:sz w:val="18"/>
              </w:rPr>
              <w:t>A grounded investigation of genred guidelines in cancer care deliberations.</w:t>
            </w:r>
            <w:r>
              <w:rPr>
                <w:sz w:val="18"/>
              </w:rPr>
              <w:t>”</w:t>
            </w:r>
          </w:p>
          <w:p w:rsidR="00D33F47" w:rsidRDefault="0041334D" w:rsidP="0041334D">
            <w:pPr>
              <w:snapToGrid w:val="0"/>
              <w:spacing w:before="20" w:after="20"/>
              <w:rPr>
                <w:sz w:val="18"/>
              </w:rPr>
            </w:pPr>
            <w:r w:rsidRPr="0041334D">
              <w:rPr>
                <w:i/>
                <w:sz w:val="18"/>
              </w:rPr>
              <w:t>Written Communication</w:t>
            </w:r>
            <w:r>
              <w:rPr>
                <w:sz w:val="18"/>
              </w:rPr>
              <w:t>. 26 (2009):</w:t>
            </w:r>
            <w:r w:rsidRPr="0041334D">
              <w:rPr>
                <w:sz w:val="18"/>
              </w:rPr>
              <w:t xml:space="preserve"> 320-340</w:t>
            </w:r>
            <w:r>
              <w:rPr>
                <w:sz w:val="18"/>
              </w:rPr>
              <w:t>. (find online)</w:t>
            </w:r>
          </w:p>
          <w:p w:rsidR="00B8649E" w:rsidRDefault="00B8649E" w:rsidP="0041334D">
            <w:pPr>
              <w:snapToGrid w:val="0"/>
              <w:spacing w:before="20" w:after="20"/>
              <w:rPr>
                <w:sz w:val="18"/>
              </w:rPr>
            </w:pPr>
          </w:p>
          <w:p w:rsidR="00B8649E" w:rsidRDefault="00B8649E" w:rsidP="0041334D">
            <w:pPr>
              <w:snapToGrid w:val="0"/>
              <w:spacing w:before="20" w:after="20"/>
              <w:rPr>
                <w:sz w:val="18"/>
              </w:rPr>
            </w:pPr>
            <w:r w:rsidRPr="00B8649E">
              <w:rPr>
                <w:sz w:val="18"/>
              </w:rPr>
              <w:t>Wickman, C</w:t>
            </w:r>
            <w:r>
              <w:rPr>
                <w:sz w:val="18"/>
              </w:rPr>
              <w:t>had.</w:t>
            </w:r>
            <w:r w:rsidRPr="00B8649E">
              <w:rPr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 w:rsidRPr="00B8649E">
              <w:rPr>
                <w:sz w:val="18"/>
              </w:rPr>
              <w:t>Rhetoric, technê, and the art of scientific inquiry.</w:t>
            </w:r>
            <w:r>
              <w:rPr>
                <w:sz w:val="18"/>
              </w:rPr>
              <w:t>”</w:t>
            </w:r>
            <w:r w:rsidRPr="00B8649E">
              <w:rPr>
                <w:sz w:val="18"/>
              </w:rPr>
              <w:t xml:space="preserve"> </w:t>
            </w:r>
            <w:r w:rsidRPr="00B8649E">
              <w:rPr>
                <w:i/>
                <w:sz w:val="18"/>
              </w:rPr>
              <w:t>Rhetoric Review</w:t>
            </w:r>
            <w:r>
              <w:rPr>
                <w:sz w:val="18"/>
              </w:rPr>
              <w:t xml:space="preserve">, 31 </w:t>
            </w:r>
            <w:r w:rsidRPr="00B8649E">
              <w:rPr>
                <w:sz w:val="18"/>
              </w:rPr>
              <w:t>(2012)</w:t>
            </w:r>
            <w:r>
              <w:rPr>
                <w:sz w:val="18"/>
              </w:rPr>
              <w:t>:</w:t>
            </w:r>
            <w:r w:rsidRPr="00B8649E">
              <w:rPr>
                <w:sz w:val="18"/>
              </w:rPr>
              <w:t xml:space="preserve"> 21-40.</w:t>
            </w:r>
            <w:r>
              <w:rPr>
                <w:sz w:val="18"/>
              </w:rPr>
              <w:t xml:space="preserve"> (find online)</w:t>
            </w:r>
          </w:p>
          <w:p w:rsidR="00B8649E" w:rsidRDefault="00B8649E" w:rsidP="0041334D">
            <w:pPr>
              <w:snapToGrid w:val="0"/>
              <w:spacing w:before="20" w:after="20"/>
              <w:rPr>
                <w:sz w:val="18"/>
              </w:rPr>
            </w:pPr>
          </w:p>
          <w:p w:rsidR="00B8649E" w:rsidRPr="00245980" w:rsidRDefault="00B8649E" w:rsidP="0041334D">
            <w:pPr>
              <w:snapToGrid w:val="0"/>
              <w:spacing w:before="20" w:after="20"/>
              <w:rPr>
                <w:sz w:val="18"/>
              </w:rPr>
            </w:pPr>
            <w:r w:rsidRPr="00B8649E">
              <w:rPr>
                <w:sz w:val="18"/>
              </w:rPr>
              <w:t xml:space="preserve">Winsor, Dorothy A. "The construction of knowledge in organizations: Asking the right questions about the Challenger." </w:t>
            </w:r>
            <w:r w:rsidRPr="00B8649E">
              <w:rPr>
                <w:i/>
                <w:sz w:val="18"/>
              </w:rPr>
              <w:t>Journal of Business and Technical Communication</w:t>
            </w:r>
            <w:r w:rsidRPr="00B8649E">
              <w:rPr>
                <w:sz w:val="18"/>
              </w:rPr>
              <w:t xml:space="preserve"> 4.2 (1990): 7-20.</w:t>
            </w:r>
            <w:r>
              <w:rPr>
                <w:sz w:val="18"/>
              </w:rPr>
              <w:t xml:space="preserve"> (find online)</w:t>
            </w:r>
          </w:p>
        </w:tc>
      </w:tr>
      <w:tr w:rsidR="00937EA9" w:rsidTr="00231BB0">
        <w:tc>
          <w:tcPr>
            <w:tcW w:w="1103" w:type="dxa"/>
          </w:tcPr>
          <w:p w:rsidR="00937EA9" w:rsidRDefault="003A32E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10</w:t>
            </w:r>
          </w:p>
          <w:p w:rsidR="003A32E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3/31</w:t>
            </w:r>
          </w:p>
        </w:tc>
        <w:tc>
          <w:tcPr>
            <w:tcW w:w="8460" w:type="dxa"/>
            <w:shd w:val="clear" w:color="auto" w:fill="auto"/>
          </w:tcPr>
          <w:p w:rsidR="009E0C23" w:rsidRPr="009E0C23" w:rsidRDefault="009E0C23" w:rsidP="009E0C23">
            <w:pPr>
              <w:snapToGrid w:val="0"/>
              <w:spacing w:before="20" w:after="20"/>
              <w:rPr>
                <w:b/>
                <w:sz w:val="18"/>
              </w:rPr>
            </w:pPr>
            <w:r w:rsidRPr="009E0C23">
              <w:rPr>
                <w:b/>
                <w:sz w:val="18"/>
              </w:rPr>
              <w:t>Topic: Digital Rhetorics/Digital Humanities</w:t>
            </w:r>
          </w:p>
          <w:p w:rsidR="009E0C23" w:rsidRDefault="009E0C23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9E0C23" w:rsidRDefault="009E0C23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Have Read:</w:t>
            </w:r>
          </w:p>
          <w:p w:rsidR="009E0C23" w:rsidRDefault="009E0C23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Banks, Adam J. “Chapter 1: Groove: Synchronizing African American Rhetoric and Multimedia Writing through the Digital Griot.” </w:t>
            </w:r>
            <w:r>
              <w:rPr>
                <w:i/>
                <w:sz w:val="18"/>
              </w:rPr>
              <w:t>Digital Griots: African American Rhetoric in a Multimedia Age</w:t>
            </w:r>
            <w:r>
              <w:rPr>
                <w:sz w:val="18"/>
              </w:rPr>
              <w:t xml:space="preserve">. Southern Illinois UP: Carbondale, IL. pps. </w:t>
            </w:r>
            <w:r w:rsidR="0041334D">
              <w:rPr>
                <w:sz w:val="18"/>
              </w:rPr>
              <w:t xml:space="preserve">10-32. </w:t>
            </w:r>
            <w:r>
              <w:rPr>
                <w:sz w:val="18"/>
              </w:rPr>
              <w:t xml:space="preserve"> </w:t>
            </w:r>
            <w:r w:rsidR="0041334D">
              <w:rPr>
                <w:sz w:val="18"/>
              </w:rPr>
              <w:t>(find online)</w:t>
            </w:r>
          </w:p>
          <w:p w:rsidR="00265821" w:rsidRDefault="00265821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265821" w:rsidRDefault="00265821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Brown Jr., James J. “Crossing State Lines: Rhetoric and Software Studies.” From </w:t>
            </w:r>
            <w:r>
              <w:rPr>
                <w:i/>
                <w:sz w:val="18"/>
              </w:rPr>
              <w:t>Rhetoric and the Digital Hummanities</w:t>
            </w:r>
            <w:r>
              <w:rPr>
                <w:sz w:val="18"/>
              </w:rPr>
              <w:t xml:space="preserve"> eds. Jim Ridolfo and William Hart-Davidson. Chicago: University of Chicago Press, 2015. Pages 20-32. (find online)</w:t>
            </w:r>
          </w:p>
          <w:p w:rsidR="00265821" w:rsidRPr="009E0C23" w:rsidRDefault="00265821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9E0C23" w:rsidRDefault="009E0C23" w:rsidP="009E0C23">
            <w:pPr>
              <w:snapToGrid w:val="0"/>
              <w:spacing w:before="20" w:after="20"/>
              <w:rPr>
                <w:sz w:val="18"/>
              </w:rPr>
            </w:pPr>
            <w:r w:rsidRPr="009E0C23">
              <w:rPr>
                <w:sz w:val="18"/>
              </w:rPr>
              <w:t xml:space="preserve">Grabill, Jeffrey T., and Stacey Pigg. “Messy Rhetoric: Identity Performance as Rhetorical Agency in Online Public Forums.” </w:t>
            </w:r>
            <w:r w:rsidRPr="00B8649E">
              <w:rPr>
                <w:i/>
                <w:sz w:val="18"/>
              </w:rPr>
              <w:t>Rhetoric Society Quarterly</w:t>
            </w:r>
            <w:r>
              <w:rPr>
                <w:sz w:val="18"/>
              </w:rPr>
              <w:t xml:space="preserve"> 42.2 (2012): 99-119.</w:t>
            </w:r>
            <w:r w:rsidR="0041334D">
              <w:rPr>
                <w:sz w:val="18"/>
              </w:rPr>
              <w:t xml:space="preserve"> (find online)</w:t>
            </w:r>
          </w:p>
          <w:p w:rsidR="00265821" w:rsidRDefault="00265821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265821" w:rsidRPr="00265821" w:rsidRDefault="00265821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Warnick, Barbara. “Chapter 2: Online Rhetoric: A Medium Theory Approach.” from </w:t>
            </w:r>
            <w:r>
              <w:rPr>
                <w:i/>
                <w:sz w:val="18"/>
              </w:rPr>
              <w:t>Rhetoric Online: Persuasion and Politics on the World Wide Web</w:t>
            </w:r>
            <w:r>
              <w:rPr>
                <w:sz w:val="18"/>
              </w:rPr>
              <w:t>. New York: Lang Publishing, 2007. Pages 25-44. (find online)</w:t>
            </w:r>
          </w:p>
          <w:p w:rsidR="00794012" w:rsidRPr="00794012" w:rsidRDefault="00794012" w:rsidP="009E0C23">
            <w:pPr>
              <w:rPr>
                <w:sz w:val="18"/>
              </w:rPr>
            </w:pPr>
          </w:p>
        </w:tc>
      </w:tr>
      <w:tr w:rsidR="00937EA9" w:rsidTr="00A20711">
        <w:tc>
          <w:tcPr>
            <w:tcW w:w="1103" w:type="dxa"/>
            <w:shd w:val="clear" w:color="auto" w:fill="D9D9D9" w:themeFill="background1" w:themeFillShade="D9"/>
          </w:tcPr>
          <w:p w:rsidR="003A32E7" w:rsidRDefault="003A32E7" w:rsidP="005B48C0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11</w:t>
            </w:r>
          </w:p>
          <w:p w:rsidR="003A32E7" w:rsidRDefault="005C27AB" w:rsidP="005B48C0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4/7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:rsidR="002364D5" w:rsidRPr="007D068D" w:rsidRDefault="005C27AB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Professor Bartolotta will be presenting at ATTW and CCCC. No class meeting this week</w:t>
            </w:r>
            <w:r w:rsidR="009E0C23">
              <w:rPr>
                <w:sz w:val="18"/>
              </w:rPr>
              <w:t xml:space="preserve">. This will be “Exam Week” for the course. </w:t>
            </w:r>
          </w:p>
        </w:tc>
      </w:tr>
      <w:tr w:rsidR="00937EA9" w:rsidTr="00231BB0">
        <w:tc>
          <w:tcPr>
            <w:tcW w:w="1103" w:type="dxa"/>
          </w:tcPr>
          <w:p w:rsidR="00937EA9" w:rsidRDefault="003A32E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12</w:t>
            </w:r>
          </w:p>
          <w:p w:rsidR="003A32E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4/14</w:t>
            </w:r>
          </w:p>
        </w:tc>
        <w:tc>
          <w:tcPr>
            <w:tcW w:w="8460" w:type="dxa"/>
            <w:shd w:val="clear" w:color="auto" w:fill="auto"/>
          </w:tcPr>
          <w:p w:rsidR="009E0C23" w:rsidRPr="00D667D1" w:rsidRDefault="009E0C23" w:rsidP="009E0C23">
            <w:pPr>
              <w:snapToGrid w:val="0"/>
              <w:spacing w:before="20" w:after="20"/>
              <w:rPr>
                <w:b/>
                <w:sz w:val="18"/>
              </w:rPr>
            </w:pPr>
            <w:r w:rsidRPr="00D667D1">
              <w:rPr>
                <w:b/>
                <w:sz w:val="18"/>
              </w:rPr>
              <w:t xml:space="preserve">Topic: </w:t>
            </w:r>
            <w:r>
              <w:rPr>
                <w:b/>
                <w:sz w:val="18"/>
              </w:rPr>
              <w:t>Environmental Rhetorics</w:t>
            </w:r>
          </w:p>
          <w:p w:rsidR="009B17D1" w:rsidRDefault="009B17D1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9E0C23" w:rsidRDefault="009E0C23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Have Read:</w:t>
            </w:r>
          </w:p>
          <w:p w:rsidR="009E0C23" w:rsidRDefault="009E0C23" w:rsidP="009E0C23">
            <w:pPr>
              <w:snapToGrid w:val="0"/>
              <w:spacing w:before="20" w:after="20"/>
              <w:rPr>
                <w:sz w:val="18"/>
              </w:rPr>
            </w:pPr>
            <w:r w:rsidRPr="009E0C23">
              <w:rPr>
                <w:sz w:val="18"/>
              </w:rPr>
              <w:t>Ross, D</w:t>
            </w:r>
            <w:r>
              <w:rPr>
                <w:sz w:val="18"/>
              </w:rPr>
              <w:t>erek G</w:t>
            </w:r>
            <w:r w:rsidRPr="009E0C23">
              <w:rPr>
                <w:sz w:val="18"/>
              </w:rPr>
              <w:t xml:space="preserve">. </w:t>
            </w:r>
            <w:r>
              <w:rPr>
                <w:sz w:val="18"/>
              </w:rPr>
              <w:t>“</w:t>
            </w:r>
            <w:r w:rsidRPr="009E0C23">
              <w:rPr>
                <w:sz w:val="18"/>
              </w:rPr>
              <w:t>Common topics an</w:t>
            </w:r>
            <w:r w:rsidR="0041334D">
              <w:rPr>
                <w:sz w:val="18"/>
              </w:rPr>
              <w:t xml:space="preserve">d commonplaces of environmental </w:t>
            </w:r>
            <w:r w:rsidRPr="009E0C23">
              <w:rPr>
                <w:sz w:val="18"/>
              </w:rPr>
              <w:t>rhetoric.</w:t>
            </w:r>
            <w:r>
              <w:rPr>
                <w:sz w:val="18"/>
              </w:rPr>
              <w:t>”</w:t>
            </w:r>
            <w:r w:rsidRPr="009E0C23">
              <w:rPr>
                <w:sz w:val="18"/>
              </w:rPr>
              <w:t xml:space="preserve"> </w:t>
            </w:r>
            <w:r w:rsidRPr="009E0C23">
              <w:rPr>
                <w:i/>
                <w:sz w:val="18"/>
              </w:rPr>
              <w:t>Written Communication</w:t>
            </w:r>
            <w:r>
              <w:rPr>
                <w:sz w:val="18"/>
              </w:rPr>
              <w:t>. 30.1 (2013):</w:t>
            </w:r>
            <w:r w:rsidRPr="009E0C23">
              <w:rPr>
                <w:sz w:val="18"/>
              </w:rPr>
              <w:t xml:space="preserve"> 91 – 131.</w:t>
            </w:r>
            <w:r w:rsidR="000334C5">
              <w:rPr>
                <w:sz w:val="18"/>
              </w:rPr>
              <w:t xml:space="preserve"> (find online)</w:t>
            </w:r>
          </w:p>
          <w:p w:rsidR="00A32E84" w:rsidRDefault="00A32E84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A32E84" w:rsidRDefault="00A32E84" w:rsidP="009E0C23">
            <w:pPr>
              <w:snapToGrid w:val="0"/>
              <w:spacing w:before="20" w:after="20"/>
              <w:rPr>
                <w:sz w:val="18"/>
              </w:rPr>
            </w:pPr>
            <w:r w:rsidRPr="00A32E84">
              <w:rPr>
                <w:sz w:val="18"/>
              </w:rPr>
              <w:lastRenderedPageBreak/>
              <w:t xml:space="preserve">Livesey, Sharon M. "McDonald's and the Environmental Defense Fund: A case study of a green alliance." </w:t>
            </w:r>
            <w:r w:rsidRPr="00A32E84">
              <w:rPr>
                <w:i/>
                <w:sz w:val="18"/>
              </w:rPr>
              <w:t xml:space="preserve">Journal of Business Communication </w:t>
            </w:r>
            <w:r w:rsidRPr="00A32E84">
              <w:rPr>
                <w:sz w:val="18"/>
              </w:rPr>
              <w:t>36.1 (1999): 5-39.</w:t>
            </w:r>
            <w:r w:rsidR="000334C5">
              <w:rPr>
                <w:sz w:val="18"/>
              </w:rPr>
              <w:t xml:space="preserve"> (find online)</w:t>
            </w:r>
          </w:p>
          <w:p w:rsidR="00A32E84" w:rsidRDefault="00A32E84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9E0C23" w:rsidRPr="002364D5" w:rsidRDefault="00A32E84" w:rsidP="009E0C23">
            <w:pPr>
              <w:snapToGrid w:val="0"/>
              <w:spacing w:before="20" w:after="20"/>
              <w:rPr>
                <w:sz w:val="18"/>
              </w:rPr>
            </w:pPr>
            <w:r w:rsidRPr="00A32E84">
              <w:rPr>
                <w:sz w:val="18"/>
              </w:rPr>
              <w:t>Walsh, Lynda. "Marking territory: Legislated genres, stakeholder beliefs, and the possibilities for common ground in the Mexican Wolf Blue Range Reintroduction Project." Written Communication (2009).</w:t>
            </w:r>
            <w:r>
              <w:rPr>
                <w:sz w:val="18"/>
              </w:rPr>
              <w:t xml:space="preserve">  (find online)</w:t>
            </w:r>
          </w:p>
        </w:tc>
      </w:tr>
      <w:tr w:rsidR="00937EA9" w:rsidTr="00231BB0">
        <w:tc>
          <w:tcPr>
            <w:tcW w:w="1103" w:type="dxa"/>
          </w:tcPr>
          <w:p w:rsidR="00937EA9" w:rsidRDefault="003A32E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lastRenderedPageBreak/>
              <w:t>Week 13</w:t>
            </w:r>
          </w:p>
          <w:p w:rsidR="003A32E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4/21</w:t>
            </w:r>
          </w:p>
        </w:tc>
        <w:tc>
          <w:tcPr>
            <w:tcW w:w="8460" w:type="dxa"/>
            <w:shd w:val="clear" w:color="auto" w:fill="auto"/>
          </w:tcPr>
          <w:p w:rsidR="009E0C23" w:rsidRDefault="009E0C23" w:rsidP="009E0C23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Topic: </w:t>
            </w:r>
            <w:r w:rsidR="0041334D">
              <w:rPr>
                <w:b/>
                <w:sz w:val="18"/>
              </w:rPr>
              <w:t>Identities</w:t>
            </w:r>
          </w:p>
          <w:p w:rsidR="009E0C23" w:rsidRDefault="009E0C23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09286D" w:rsidRDefault="0009286D" w:rsidP="009E0C23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Anzaldúa, Gloria E</w:t>
            </w:r>
            <w:r w:rsidRPr="0009286D">
              <w:rPr>
                <w:sz w:val="18"/>
              </w:rPr>
              <w:t>. Borderlands/La Frontera: The New Mestiza.</w:t>
            </w:r>
            <w:r>
              <w:rPr>
                <w:sz w:val="18"/>
              </w:rPr>
              <w:t xml:space="preserve"> San Francisco: Aunt Lute Books. 1987. (on Learn)</w:t>
            </w:r>
            <w:bookmarkStart w:id="0" w:name="_GoBack"/>
            <w:bookmarkEnd w:id="0"/>
          </w:p>
          <w:p w:rsidR="0009286D" w:rsidRDefault="0009286D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265821" w:rsidRDefault="00265821" w:rsidP="009E0C23">
            <w:pPr>
              <w:snapToGrid w:val="0"/>
              <w:spacing w:before="20" w:after="20"/>
              <w:rPr>
                <w:sz w:val="18"/>
              </w:rPr>
            </w:pPr>
            <w:r w:rsidRPr="00265821">
              <w:rPr>
                <w:sz w:val="18"/>
              </w:rPr>
              <w:t xml:space="preserve">Charland, Maurice. “Constitutive Rhetoric: The </w:t>
            </w:r>
            <w:r>
              <w:rPr>
                <w:sz w:val="18"/>
              </w:rPr>
              <w:t xml:space="preserve">Case of the Peuple Québécois.” </w:t>
            </w:r>
            <w:r w:rsidRPr="00265821">
              <w:rPr>
                <w:i/>
                <w:sz w:val="18"/>
              </w:rPr>
              <w:t>The Quarterly Journal of Speech</w:t>
            </w:r>
            <w:r w:rsidRPr="00265821">
              <w:rPr>
                <w:sz w:val="18"/>
              </w:rPr>
              <w:t xml:space="preserve"> 73.2 </w:t>
            </w:r>
            <w:r>
              <w:rPr>
                <w:sz w:val="18"/>
              </w:rPr>
              <w:t>(</w:t>
            </w:r>
            <w:r w:rsidRPr="00265821">
              <w:rPr>
                <w:sz w:val="18"/>
              </w:rPr>
              <w:t>1987)</w:t>
            </w:r>
            <w:r>
              <w:rPr>
                <w:sz w:val="18"/>
              </w:rPr>
              <w:t>: 133-150.</w:t>
            </w:r>
            <w:r w:rsidR="00A32E84">
              <w:rPr>
                <w:sz w:val="18"/>
              </w:rPr>
              <w:t xml:space="preserve"> (find online)</w:t>
            </w:r>
          </w:p>
          <w:p w:rsidR="00265821" w:rsidRPr="00164D31" w:rsidRDefault="00265821" w:rsidP="009E0C23">
            <w:pPr>
              <w:snapToGrid w:val="0"/>
              <w:spacing w:before="20" w:after="20"/>
              <w:rPr>
                <w:sz w:val="18"/>
              </w:rPr>
            </w:pPr>
          </w:p>
          <w:p w:rsidR="00A63789" w:rsidRDefault="0041334D" w:rsidP="002243AE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Gilyard, Keith. </w:t>
            </w:r>
            <w:r w:rsidRPr="0041334D">
              <w:rPr>
                <w:sz w:val="18"/>
              </w:rPr>
              <w:t xml:space="preserve">“Literacy, Identity, Imagination, Flight.” </w:t>
            </w:r>
            <w:r w:rsidRPr="0041334D">
              <w:rPr>
                <w:i/>
                <w:sz w:val="18"/>
              </w:rPr>
              <w:t>College Composition and Communication</w:t>
            </w:r>
            <w:r>
              <w:rPr>
                <w:sz w:val="18"/>
              </w:rPr>
              <w:t>, 52.</w:t>
            </w:r>
            <w:r w:rsidRPr="0041334D">
              <w:rPr>
                <w:sz w:val="18"/>
              </w:rPr>
              <w:t>2 (2000): 260-272</w:t>
            </w:r>
            <w:r>
              <w:rPr>
                <w:sz w:val="18"/>
              </w:rPr>
              <w:t>.</w:t>
            </w:r>
            <w:r w:rsidR="00A32E84">
              <w:rPr>
                <w:sz w:val="18"/>
              </w:rPr>
              <w:t xml:space="preserve"> (find online)</w:t>
            </w:r>
          </w:p>
          <w:p w:rsidR="00A32E84" w:rsidRDefault="00A32E84" w:rsidP="002243AE">
            <w:pPr>
              <w:snapToGrid w:val="0"/>
              <w:spacing w:before="20" w:after="20"/>
              <w:rPr>
                <w:sz w:val="18"/>
              </w:rPr>
            </w:pPr>
          </w:p>
          <w:p w:rsidR="00A32E84" w:rsidRDefault="00A32E84" w:rsidP="00A32E84">
            <w:pPr>
              <w:snapToGrid w:val="0"/>
              <w:spacing w:before="20" w:after="20"/>
              <w:rPr>
                <w:sz w:val="18"/>
              </w:rPr>
            </w:pPr>
            <w:r w:rsidRPr="00A32E84">
              <w:rPr>
                <w:sz w:val="18"/>
              </w:rPr>
              <w:t xml:space="preserve">Houle, Brian R., Alex P. Kimball, and Heidi A. McKee. "'Boy? Girl? You Decide.' Multimodal Web Composition and a Mythography of Identity ." </w:t>
            </w:r>
            <w:r w:rsidRPr="00A32E84">
              <w:rPr>
                <w:i/>
                <w:sz w:val="18"/>
              </w:rPr>
              <w:t>Computers &amp; Composition Online</w:t>
            </w:r>
            <w:r w:rsidRPr="00A32E84">
              <w:rPr>
                <w:sz w:val="18"/>
              </w:rPr>
              <w:t xml:space="preserve"> Special Issue on Sexualities, Technologies, and Literacies (Fall 2004)</w:t>
            </w:r>
            <w:r>
              <w:rPr>
                <w:sz w:val="18"/>
              </w:rPr>
              <w:t xml:space="preserve"> (find online)</w:t>
            </w:r>
          </w:p>
          <w:p w:rsidR="00663A32" w:rsidRDefault="00663A32" w:rsidP="00A32E84">
            <w:pPr>
              <w:snapToGrid w:val="0"/>
              <w:spacing w:before="20" w:after="20"/>
              <w:rPr>
                <w:sz w:val="18"/>
              </w:rPr>
            </w:pPr>
          </w:p>
          <w:p w:rsidR="00663A32" w:rsidRPr="00663A32" w:rsidRDefault="00663A32" w:rsidP="00A32E84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Due: Final Papers</w:t>
            </w:r>
          </w:p>
        </w:tc>
      </w:tr>
      <w:tr w:rsidR="00937EA9" w:rsidTr="00181B25">
        <w:tc>
          <w:tcPr>
            <w:tcW w:w="1103" w:type="dxa"/>
          </w:tcPr>
          <w:p w:rsidR="00937EA9" w:rsidRDefault="003A32E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Week 14</w:t>
            </w:r>
          </w:p>
          <w:p w:rsidR="003A32E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4/28</w:t>
            </w:r>
          </w:p>
        </w:tc>
        <w:tc>
          <w:tcPr>
            <w:tcW w:w="8460" w:type="dxa"/>
            <w:shd w:val="clear" w:color="auto" w:fill="auto"/>
          </w:tcPr>
          <w:p w:rsidR="00D667D1" w:rsidRPr="0041334D" w:rsidRDefault="0041334D" w:rsidP="009E0C23">
            <w:pPr>
              <w:snapToGrid w:val="0"/>
              <w:spacing w:before="20" w:after="20"/>
              <w:rPr>
                <w:b/>
                <w:sz w:val="18"/>
              </w:rPr>
            </w:pPr>
            <w:r w:rsidRPr="0041334D">
              <w:rPr>
                <w:b/>
                <w:sz w:val="18"/>
              </w:rPr>
              <w:t>Presentations</w:t>
            </w:r>
          </w:p>
        </w:tc>
      </w:tr>
      <w:tr w:rsidR="00937EA9" w:rsidTr="00231BB0">
        <w:tc>
          <w:tcPr>
            <w:tcW w:w="1103" w:type="dxa"/>
          </w:tcPr>
          <w:p w:rsidR="00937EA9" w:rsidRDefault="003A32E7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Week 15 </w:t>
            </w:r>
          </w:p>
          <w:p w:rsidR="003A32E7" w:rsidRDefault="005C27AB" w:rsidP="009541D7">
            <w:pPr>
              <w:snapToGrid w:val="0"/>
              <w:spacing w:before="20" w:after="20"/>
              <w:rPr>
                <w:sz w:val="18"/>
              </w:rPr>
            </w:pPr>
            <w:r>
              <w:rPr>
                <w:sz w:val="18"/>
              </w:rPr>
              <w:t>Th 5/5</w:t>
            </w:r>
          </w:p>
        </w:tc>
        <w:tc>
          <w:tcPr>
            <w:tcW w:w="8460" w:type="dxa"/>
            <w:shd w:val="clear" w:color="auto" w:fill="auto"/>
          </w:tcPr>
          <w:p w:rsidR="0041334D" w:rsidRDefault="0041334D" w:rsidP="005C27AB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Presentations</w:t>
            </w:r>
          </w:p>
          <w:p w:rsidR="0041334D" w:rsidRDefault="0041334D" w:rsidP="005C27AB">
            <w:pPr>
              <w:snapToGrid w:val="0"/>
              <w:spacing w:before="20" w:after="20"/>
              <w:rPr>
                <w:b/>
                <w:sz w:val="18"/>
              </w:rPr>
            </w:pPr>
          </w:p>
          <w:p w:rsidR="00231BB0" w:rsidRDefault="00A20711" w:rsidP="00181B25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Kenneth Burke Birthday Party</w:t>
            </w:r>
          </w:p>
          <w:p w:rsidR="00663A32" w:rsidRDefault="00663A32" w:rsidP="00181B25">
            <w:pPr>
              <w:snapToGrid w:val="0"/>
              <w:spacing w:before="20" w:after="20"/>
              <w:rPr>
                <w:b/>
                <w:sz w:val="18"/>
              </w:rPr>
            </w:pPr>
          </w:p>
          <w:p w:rsidR="00663A32" w:rsidRPr="00D667D1" w:rsidRDefault="00663A32" w:rsidP="00181B25">
            <w:pPr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Due: Reflections</w:t>
            </w:r>
          </w:p>
        </w:tc>
      </w:tr>
    </w:tbl>
    <w:p w:rsidR="00937EA9" w:rsidRDefault="00937EA9" w:rsidP="00937EA9">
      <w:pPr>
        <w:spacing w:before="60"/>
        <w:rPr>
          <w:sz w:val="20"/>
        </w:rPr>
      </w:pPr>
    </w:p>
    <w:p w:rsidR="00937EA9" w:rsidRDefault="00937EA9" w:rsidP="00937EA9">
      <w:pPr>
        <w:spacing w:before="60"/>
        <w:rPr>
          <w:sz w:val="20"/>
        </w:rPr>
      </w:pPr>
      <w:r>
        <w:rPr>
          <w:sz w:val="20"/>
        </w:rPr>
        <w:t xml:space="preserve"> </w:t>
      </w:r>
    </w:p>
    <w:p w:rsidR="0054203E" w:rsidRDefault="0054203E"/>
    <w:sectPr w:rsidR="0054203E" w:rsidSect="00181B25">
      <w:footerReference w:type="default" r:id="rId7"/>
      <w:pgSz w:w="12240" w:h="15840"/>
      <w:pgMar w:top="900" w:right="1440" w:bottom="5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77" w:rsidRDefault="00CC1577">
      <w:r>
        <w:separator/>
      </w:r>
    </w:p>
  </w:endnote>
  <w:endnote w:type="continuationSeparator" w:id="0">
    <w:p w:rsidR="00CC1577" w:rsidRDefault="00CC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25" w:rsidRDefault="00231BB0">
    <w:pPr>
      <w:pStyle w:val="Footer"/>
      <w:tabs>
        <w:tab w:val="clear" w:pos="4320"/>
        <w:tab w:val="center" w:pos="468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286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77" w:rsidRDefault="00CC1577">
      <w:r>
        <w:separator/>
      </w:r>
    </w:p>
  </w:footnote>
  <w:footnote w:type="continuationSeparator" w:id="0">
    <w:p w:rsidR="00CC1577" w:rsidRDefault="00CC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A9"/>
    <w:rsid w:val="000334C5"/>
    <w:rsid w:val="0009286D"/>
    <w:rsid w:val="00130CE5"/>
    <w:rsid w:val="00164D31"/>
    <w:rsid w:val="00181B25"/>
    <w:rsid w:val="001B70FD"/>
    <w:rsid w:val="001D5338"/>
    <w:rsid w:val="001F74A2"/>
    <w:rsid w:val="002243AE"/>
    <w:rsid w:val="00231BB0"/>
    <w:rsid w:val="00235A36"/>
    <w:rsid w:val="002364D5"/>
    <w:rsid w:val="00265821"/>
    <w:rsid w:val="00296F07"/>
    <w:rsid w:val="002C6479"/>
    <w:rsid w:val="002E0067"/>
    <w:rsid w:val="002E439D"/>
    <w:rsid w:val="002F1EC1"/>
    <w:rsid w:val="003223D7"/>
    <w:rsid w:val="00323E0E"/>
    <w:rsid w:val="003A32E7"/>
    <w:rsid w:val="0041334D"/>
    <w:rsid w:val="00496830"/>
    <w:rsid w:val="00496C3A"/>
    <w:rsid w:val="004B5898"/>
    <w:rsid w:val="0054203E"/>
    <w:rsid w:val="0058011F"/>
    <w:rsid w:val="005B48C0"/>
    <w:rsid w:val="005C27AB"/>
    <w:rsid w:val="005D4878"/>
    <w:rsid w:val="005E5219"/>
    <w:rsid w:val="005F0F1C"/>
    <w:rsid w:val="00663A32"/>
    <w:rsid w:val="006D3A4E"/>
    <w:rsid w:val="006E1DC2"/>
    <w:rsid w:val="0070026F"/>
    <w:rsid w:val="00794012"/>
    <w:rsid w:val="007D068D"/>
    <w:rsid w:val="008026A8"/>
    <w:rsid w:val="008814CE"/>
    <w:rsid w:val="008C6ACC"/>
    <w:rsid w:val="009041C7"/>
    <w:rsid w:val="009313D9"/>
    <w:rsid w:val="00937EA9"/>
    <w:rsid w:val="009541D7"/>
    <w:rsid w:val="009A37F4"/>
    <w:rsid w:val="009B17D1"/>
    <w:rsid w:val="009E0C23"/>
    <w:rsid w:val="00A20711"/>
    <w:rsid w:val="00A32E84"/>
    <w:rsid w:val="00A453D4"/>
    <w:rsid w:val="00A63789"/>
    <w:rsid w:val="00A76DD3"/>
    <w:rsid w:val="00AC0760"/>
    <w:rsid w:val="00AE7C63"/>
    <w:rsid w:val="00B36225"/>
    <w:rsid w:val="00B65CDF"/>
    <w:rsid w:val="00B71512"/>
    <w:rsid w:val="00B83B13"/>
    <w:rsid w:val="00B8649E"/>
    <w:rsid w:val="00C157A5"/>
    <w:rsid w:val="00C36854"/>
    <w:rsid w:val="00CC1577"/>
    <w:rsid w:val="00D22D0F"/>
    <w:rsid w:val="00D33F47"/>
    <w:rsid w:val="00D667D1"/>
    <w:rsid w:val="00E9570E"/>
    <w:rsid w:val="00EA16A7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A9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37EA9"/>
    <w:pPr>
      <w:tabs>
        <w:tab w:val="center" w:pos="4320"/>
        <w:tab w:val="right" w:pos="8640"/>
      </w:tabs>
      <w:spacing w:line="240" w:lineRule="atLeast"/>
    </w:pPr>
    <w:rPr>
      <w:rFonts w:ascii="New Century Schlbk" w:eastAsia="Times New Roman" w:hAnsi="New Century Schlbk"/>
    </w:rPr>
  </w:style>
  <w:style w:type="character" w:customStyle="1" w:styleId="FooterChar">
    <w:name w:val="Footer Char"/>
    <w:basedOn w:val="DefaultParagraphFont"/>
    <w:link w:val="Footer"/>
    <w:semiHidden/>
    <w:rsid w:val="00937EA9"/>
    <w:rPr>
      <w:rFonts w:ascii="New Century Schlbk" w:eastAsia="Times New Roman" w:hAnsi="New Century Schlbk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937EA9"/>
  </w:style>
  <w:style w:type="paragraph" w:styleId="BalloonText">
    <w:name w:val="Balloon Text"/>
    <w:basedOn w:val="Normal"/>
    <w:link w:val="BalloonTextChar"/>
    <w:uiPriority w:val="99"/>
    <w:semiHidden/>
    <w:unhideWhenUsed/>
    <w:rsid w:val="0093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D9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A9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37EA9"/>
    <w:pPr>
      <w:tabs>
        <w:tab w:val="center" w:pos="4320"/>
        <w:tab w:val="right" w:pos="8640"/>
      </w:tabs>
      <w:spacing w:line="240" w:lineRule="atLeast"/>
    </w:pPr>
    <w:rPr>
      <w:rFonts w:ascii="New Century Schlbk" w:eastAsia="Times New Roman" w:hAnsi="New Century Schlbk"/>
    </w:rPr>
  </w:style>
  <w:style w:type="character" w:customStyle="1" w:styleId="FooterChar">
    <w:name w:val="Footer Char"/>
    <w:basedOn w:val="DefaultParagraphFont"/>
    <w:link w:val="Footer"/>
    <w:semiHidden/>
    <w:rsid w:val="00937EA9"/>
    <w:rPr>
      <w:rFonts w:ascii="New Century Schlbk" w:eastAsia="Times New Roman" w:hAnsi="New Century Schlbk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937EA9"/>
  </w:style>
  <w:style w:type="paragraph" w:styleId="BalloonText">
    <w:name w:val="Balloon Text"/>
    <w:basedOn w:val="Normal"/>
    <w:link w:val="BalloonTextChar"/>
    <w:uiPriority w:val="99"/>
    <w:semiHidden/>
    <w:unhideWhenUsed/>
    <w:rsid w:val="0093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D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jpbartolotta</dc:creator>
  <cp:lastModifiedBy>jpbartolotta</cp:lastModifiedBy>
  <cp:revision>10</cp:revision>
  <cp:lastPrinted>2016-01-28T05:10:00Z</cp:lastPrinted>
  <dcterms:created xsi:type="dcterms:W3CDTF">2016-01-18T07:15:00Z</dcterms:created>
  <dcterms:modified xsi:type="dcterms:W3CDTF">2016-01-28T16:08:00Z</dcterms:modified>
</cp:coreProperties>
</file>